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LuftBODV 4 — Anforderungen an die Besatzungsmitglieder (zu § 42 LuftBO)</w:t>
      </w:r>
    </w:p>
    <w:p>
      <w:r>
        <w:rPr>
          <w:color w:val="555555"/>
          <w:sz w:val="18"/>
        </w:rPr>
        <w:t xml:space="preserve">Vierte Durchführungsverordnung zur Betriebsordnung für Luftfahrtgerät (Ausrüstung und Betrieb von Heißluftballonen und Heißluft-Luftschiffen)</w:t>
      </w:r>
    </w:p>
    <w:p>
      <w:r>
        <w:rPr>
          <w:color w:val="555555"/>
          <w:sz w:val="18"/>
        </w:rPr>
        <w:t xml:space="preserve">Stand: 10.06.2019 (konsolidierte Textfassung, kein amtliches Inkrafttretensdatum)</w:t>
      </w:r>
    </w:p>
    <w:p>
      <w:r>
        <w:t xml:space="preserve">(1) Der Unternehmer darf einen Luftfahrzeugführer nur einsetzen, wenn dieser die Überprüfungsfahrten gemäß § 42 Abs. 3 LuftBO auf dem größten Ballon oder auf dem größten Luftschiff durchgeführt hat, auf dem er im Unternehmen eingesetzt wird. Überträgt die Aufsichtsbehörde die Abnahme der Überprüfungsfahrten an einen von ihr bestimmten Sachverständigen, muß dieser ausreichend Erfahrung auf dem Muster nachgewiesen haben.</w:t>
      </w:r>
    </w:p>
    <w:p>
      <w:r>
        <w:t xml:space="preserve">(2) Der Unternehmer darf einen Luftfahrzeugführer nur einsetzen, wenn dieser alle 24 Monate den Nachweis der Teilnahme an einem Kurs in Erster Hilfe und der Unterweisung in den praktischen Gebrauch des Handfeuerlöschers erbracht hat.</w:t>
      </w:r>
    </w:p>
    <w:p>
      <w:r>
        <w:rPr>
          <w:color w:val="555555"/>
          <w:sz w:val="17"/>
        </w:rPr>
        <w:t xml:space="preserve">Zitiervorschlag: § 15 LuftBODV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https://recht.nulegal.eu/gesetze/LuftBODV%204/15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LuftBODV 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