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LuftBODV 4 — Handbücher (zu den §§ 24, 27, 37 LuftBO)</w:t>
      </w:r>
    </w:p>
    <w:p>
      <w:r>
        <w:rPr>
          <w:color w:val="555555"/>
          <w:sz w:val="18"/>
        </w:rPr>
        <w:t xml:space="preserve">Vierte Durchführungsverordnung zur Betriebsordnung für Luftfahrtgerät (Ausrüstung und Betrieb von Heißluftballonen und Heißluft-Luftschiffen)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An Bord des Ballons oder Luftschiffs müssen die notwendigen Auszüge aus dem Handbuch des Herstellers und die erforderlichen Klarlisten mitgeführt werden.</w:t>
      </w:r>
    </w:p>
    <w:p>
      <w:r>
        <w:t xml:space="preserve">(2) Eine Ausgabe des Flugbetriebshandbuches und des Technischen Betriebshandbuches müssen im Verfolgerfahrzeug mitgeführt werden.</w:t>
      </w:r>
    </w:p>
    <w:p>
      <w:r>
        <w:t xml:space="preserve">(3) Die Anforderungen an das für den gewerblichen Luftschiffbetrieb erforderliche Bodenpersonal sowie die entsprechenden flugbetrieblichen Regelungen müssen in den Unterlagen nach Absatz 2 enthalten sein.</w:t>
      </w:r>
    </w:p>
    <w:p>
      <w:r>
        <w:rPr>
          <w:color w:val="555555"/>
          <w:sz w:val="17"/>
        </w:rPr>
        <w:t xml:space="preserve">Zitiervorschlag: § 13 LuftBODV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https://recht.nulegal.eu/gesetze/LuftBODV%204/13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