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LuftBODV 3 2009 — Ausrüstung für Flüge über Land - Notsender (zu § 21 Absatz 1 LuftBO)</w:t>
      </w:r>
    </w:p>
    <w:p>
      <w:r>
        <w:rPr>
          <w:color w:val="555555"/>
          <w:sz w:val="18"/>
        </w:rPr>
        <w:t xml:space="preserve">Dritte Durchführungsverordnung zur Betriebsordnung für Luftfahrtgerät (Ausrüstung und Betrieb des Luftfahrtgerätes außerhalb von Luftfahrtunternehmen)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Flüge ins Ausland müssen ab dem 1. Oktober 2009 alle Hubschrauber mit mindestens einem automatischen Notsender ausgerüstet sein, der auf 121,5 Megahertz und 406 Megahertz senden kann.</w:t>
      </w:r>
    </w:p>
    <w:p>
      <w:r>
        <w:t xml:space="preserve">(2) Ab dem 1. Januar 2010 müssen alle Hubschrauber mit mindestens einem automatischen Notsender ausgerüstet sein, der auf 121,5 Megahertz und 406 Megahertz senden kann.</w:t>
      </w:r>
    </w:p>
    <w:p>
      <w:r>
        <w:rPr>
          <w:color w:val="555555"/>
          <w:sz w:val="17"/>
        </w:rPr>
        <w:t xml:space="preserve">Zitiervorschlag: § 25 LuftBODV 3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https://recht.nulegal.eu/gesetze/LuftBODV%203%202009/25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