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LuftBODV 3 2009 — Bordseitige Kollisionsschutzanlage (zu § 22 LuftBO)</w:t>
      </w:r>
    </w:p>
    <w:p>
      <w:r>
        <w:rPr>
          <w:color w:val="555555"/>
          <w:sz w:val="18"/>
        </w:rPr>
        <w:t xml:space="preserve">Dritte Durchführungsverordnung zur Betriebsordnung für Luftfahrtgerät (Ausrüstung und Betrieb des Luftfahrtgerätes außerhalb von Luftfahrtunternehmen)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Turbinengetriebene Flugzeuge mit einer höchstzulässigen Startmasse von mehr als 5 700 Kilogramm oder mit einer Fluggastsitzzahl von mehr als neunzehn sind mit einer bordseitigen Kollisionsschutzanlage, die hinsichtlich der Leistungsanforderungen mindestens denen der Klasse II (ACAS II) entspricht, auszurüsten.</w:t>
      </w:r>
    </w:p>
    <w:p>
      <w:r>
        <w:rPr>
          <w:color w:val="555555"/>
          <w:sz w:val="17"/>
        </w:rPr>
        <w:t xml:space="preserve">Zitiervorschlag: § 21 LuftBODV 3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https://recht.nulegal.eu/gesetze/LuftBODV%203%202009/21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