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LuftBODV 2 2009</w:t>
      </w:r>
    </w:p>
    <w:p>
      <w:r>
        <w:rPr>
          <w:color w:val="555555"/>
          <w:sz w:val="18"/>
        </w:rPr>
        <w:t xml:space="preserve">Zweite Durchführungsverordnung zur Betriebsordnung für Luftfahrtgerät (Dienst-, Flugdienst-, Block- und Ruhezeiten von Besatzungsmitgliedern in Luftfahrtunternehmen und außerhalb von Luftfahrtunternehmen bei berufsmäßiger Betätigung)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32 Absatz 1 Satz 1 Nummer 1, Absatz 3 Satz 2 und 3 sowie Absatz 4 Nummer 1 des Luftverkehrsgesetzes in der Fassung der Bekanntmachung vom 10. Mai 2007 (BGBl. I S. 698) in Verbindung mit § 56 der Betriebsordnung für Luftfahrtgerät vom 4. März 1970 (BGBl. I S. 262), der zuletzt durch Artikel 1 Nummer 12 der Verordnung vom 29. Juli 1998 (BGBl. I S. 1989) geändert worden ist, verordnet das Luftfahrt-Bundesamt:</w:t>
      </w:r>
    </w:p>
    <w:p>
      <w:r>
        <w:rPr>
          <w:color w:val="555555"/>
          <w:sz w:val="17"/>
        </w:rPr>
        <w:t xml:space="preserve">Zitiervorschlag: Eingangsformel LuftBODV 2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https://recht.nulegal.eu/gesetze/LuftBODV%202%202009/eingangsformel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