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LuftBODV 1 2008</w:t>
      </w:r>
    </w:p>
    <w:p>
      <w:r>
        <w:rPr>
          <w:color w:val="555555"/>
          <w:sz w:val="18"/>
        </w:rPr>
        <w:t xml:space="preserve">Erste Durchführungsverordnung zur Betriebsordnung für Luftfahrtgerät (Anwendungsbestimmungen zu Anhang III - EU-OPS - der VO (EWG) Nr. 3922/91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32 Abs. 1 Satz 1 Nr. 1, Abs. 3 Satz 2, Abs. 4 Nr. 1 und Abs. 3 Satz 3 des Luftverkehrsgesetzes in der Fassung der Bekanntmachung vom 10. Mai 2007 (BGBl. I S. 698) in Verbindung mit § 56 der Betriebsordnung für Luftfahrtgerät vom 4. März 1970 (BGBl. I S. 262), der zuletzt durch Artikel 1 Nr. 12 der Verordnung vom 29. Juli 1998 (BGBl. I S. 1989) geändert worden ist, verordnet das Luftfahrt-Bundesamt:</w:t>
      </w:r>
    </w:p>
    <w:p>
      <w:r>
        <w:rPr>
          <w:color w:val="555555"/>
          <w:sz w:val="17"/>
        </w:rPr>
        <w:t xml:space="preserve">Zitiervorschlag: Eingangsformel LuftBODV 1 2008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https://recht.nulegal.eu/gesetze/LuftBODV%201%202008/eingangsformel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