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LuftBO — Durchführungsvorschriften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Luftfahrt-Bundesamt wird ermächtigt, soweit dies zur Gewährleistung der Sicherheit des Luftverkehrs und der öffentlichen Sicherheit und Ordnung notwendig ist, durch Rechtsverordnung die Einzelheiten zu regeln, die zur Durchführung</w:t>
      </w:r>
    </w:p>
    <w:p>
      <w:pPr>
        <w:ind w:left="420"/>
      </w:pPr>
      <w:r>
        <w:t xml:space="preserve">1. der in dieser Verordnung enthaltenen Verhaltensvorschriften nach § 32 Abs. 1 Satz 1 Nr. 1 des Luftverkehrsgesetzes,</w:t>
      </w:r>
    </w:p>
    <w:p>
      <w:pPr>
        <w:ind w:left="420"/>
      </w:pPr>
      <w:r>
        <w:t xml:space="preserve">2. der Bau-, Prüf- und Betriebsvorschriften dieser Verordnung</w:t>
      </w:r>
    </w:p>
    <w:p>
      <w:r>
        <w:t xml:space="preserve">erforderlich sind. Das Luftfahrt-Bundesamt hat dabei die Grundsätze internationaler Regelungen, insbesondere die Richtlinien und Empfehlungen der internationalen Zivilluftfahrt-Organisation, zu berücksichtigen.</w:t>
      </w:r>
    </w:p>
    <w:p>
      <w:r>
        <w:rPr>
          <w:color w:val="555555"/>
          <w:sz w:val="17"/>
        </w:rPr>
        <w:t xml:space="preserve">Zitiervorschlag: § 56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