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LuftBO — Fluggäste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dafür zu sorgen, daß die Fluggäste über die Benutzung der für sie bestimmten Sicherheits- und Rettungsgeräte unterrichtet und in Notfällen angewiesen werden, wie sie sich zu verhalten haben.</w:t>
      </w:r>
    </w:p>
    <w:p>
      <w:r>
        <w:t xml:space="preserve">(2) Der Unternehmer hat dafür zu sorgen, daß Personen, die an Bord des Luftfahrzeugs die Sicherheit und Ordnung gefährden können, von der Beförderung ausgeschlossen werden.</w:t>
      </w:r>
    </w:p>
    <w:p>
      <w:r>
        <w:t xml:space="preserve">(3) Der Unternehmer hat dafür zu sorgen, daß lebende Tiere, welche die Räumung des Luftfahrzeugs in Notfällen behindern oder gefährden können, von der Beförderung in den Fluggasträumen ausgeschlossen werden.</w:t>
      </w:r>
    </w:p>
    <w:p>
      <w:r>
        <w:rPr>
          <w:color w:val="555555"/>
          <w:sz w:val="17"/>
        </w:rPr>
        <w:t xml:space="preserve">Zitiervorschlag: § 52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