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LuftBO — Zulässige Betriebszeiten</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Für das Luftfahrtgerät oder seine Teile können von dem Luftfahrt-Bundesamt oder dem vom Bundesministerium für Verkehr und digitale Infrastruktur Beauftragten zulässige Betriebszeiten festgelegt werden, soweit dies zur Gewährleistung eines sicheren Betriebs erforderlich ist.</w:t>
      </w:r>
    </w:p>
    <w:p>
      <w:r>
        <w:t xml:space="preserve">(2) Auf Antrag des Halters kann die zuständige Stelle von Absatz 1 abweichende zulässige Betriebszeiten festlegen, wenn diese der Verwendung des Luftfahrtgeräts und den besonderen Betriebsbedingungen Rechnung tragen. Der Antragsteller hat durch Vorlage der Betriebsergebnisse nachzuweisen, daß die beantragte zulässige Betriebszeit die Sicherheit nicht beeinträchtigt. Die Festlegung kann eingeschränkt, mit Auflagen verbunden und befristet werden. Die zuständige Stelle kann die Festlegung zurücknehmen, wenn die Voraussetzungen für die Festlegung nicht vorgelegen haben; sie kann sie widerrufen, wenn die Voraussetzungen für die Festlegung nachträglich nicht nur vorübergehend entfallen sind oder die erteilten Auflagen nicht eingehalten werden.</w:t>
      </w:r>
    </w:p>
    <w:p>
      <w:r>
        <w:rPr>
          <w:color w:val="555555"/>
          <w:sz w:val="17"/>
        </w:rPr>
        <w:t xml:space="preserve">Zitiervorschlag: § 4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