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LuftBO — Wettermindestbedingungen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Flug nach Sichtflugregeln darf nur dann angetreten oder zum Bestimmungsflugplatz fortgesetzt werden, wenn nach den letzten Informationen die in der Durchführungsverordnung (EU) Nr. 923/2012 vorgeschriebenen Mindestwerte für Flüge nach Sichtflugregeln auf der Flugstrecke erfüllt sind.</w:t>
      </w:r>
    </w:p>
    <w:p>
      <w:r>
        <w:t xml:space="preserve">(2) Ein Flug nach Instrumentenflugregeln darf nur dann angetreten oder zum Bestimmungs- oder Ausweichflugplatz fortgesetzt werden, wenn nach den letzten Informationen die Wetterbedingungen zu der voraussichtlichen Ankunftszeit auf dem Bestimmungsflugplatz oder auf wenigstens einem Ausweichflugplatz den Betriebsmindestbedingungen nach § 34 entsprechen.</w:t>
      </w:r>
    </w:p>
    <w:p>
      <w:r>
        <w:t xml:space="preserve">(3) Ein Flug unter Wetterbedingungen, bei denen Vereisung zu erwarten ist, darf nur dann angetreten oder zum Bestimmungs- oder Ausweichflugplatz fortgesetzt werden, wenn das Luftfahrzeug mit betriebsbereiten Einrichtungen zur Verhütung oder zur Beobachtung und Beseitigung von Eisansatz ausgerüstet ist.</w:t>
      </w:r>
    </w:p>
    <w:p>
      <w:r>
        <w:rPr>
          <w:color w:val="555555"/>
          <w:sz w:val="17"/>
        </w:rPr>
        <w:t xml:space="preserve">Zitiervorschlag: § 35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