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LuftBO — Betriebsmindestbedingungen und Mindestflughöhen</w:t>
      </w:r>
    </w:p>
    <w:p>
      <w:r>
        <w:rPr>
          <w:color w:val="555555"/>
          <w:sz w:val="18"/>
        </w:rPr>
        <w:t xml:space="preserve">Betriebsordnung für Luftfahrtgerät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Luftfahrzeugführer hat vor einem Flug nach Instrumentenflugregeln zu ermitteln:</w:t>
      </w:r>
    </w:p>
    <w:p>
      <w:pPr>
        <w:ind w:left="420"/>
      </w:pPr>
      <w:r>
        <w:t xml:space="preserve">1. die Betriebsmindestbedingungen für das jeweilige Luftfahrzeug im Hinblick auf den Startflugplatz, den anzufliegenden Flugplatz und den Ausweichflugplatz (Flugplatz-Betriebsmindestbedingungen) und</w:t>
      </w:r>
    </w:p>
    <w:p>
      <w:pPr>
        <w:ind w:left="420"/>
      </w:pPr>
      <w:r>
        <w:t xml:space="preserve">2. die Mindestflughöhen auf den zu diesen Flugplätzen führenden Flugstrecken.</w:t>
      </w:r>
    </w:p>
    <w:p>
      <w:r>
        <w:t xml:space="preserve">(2) Der Luftfahrzeughalter hat Verfahren zur Ermittlung der Betriebsmindestbedingungen nach Absatz 1 Nr. 1 und der Mindestflughöhen nach Absatz 1 Nr. 2 für jedes von ihm betriebene Luftfahrzeug festzulegen. Die Verfahren bedürfen der Anerkennung durch das Luftfahrt-Bundesamt, sofern es sich um Flugbetrieb bei geringer Sicht, insbesondere um Starts bei Pistensichtweiten unter 400 Metern und um Präzisionsanflüge nach den Betriebsstufen II und III handelt.</w:t>
      </w:r>
    </w:p>
    <w:p>
      <w:r>
        <w:t xml:space="preserve">(3) Die vom Luftfahrzeugführer nach Absatz 1 Nr. 1 ermittelten Flugplatz-Betriebsmindestbedingungen dürfen die für einen in- oder ausländischen Flugplatz behördlich festgelegten Werte für den Abbruch von Landeanflügen oder für den Start nur dann unterschreiten, wenn dies die für den jeweiligen Flugplatz zuständige Luftfahrtbehörde ausdrücklich erlaubt hat.</w:t>
      </w:r>
    </w:p>
    <w:p>
      <w:r>
        <w:rPr>
          <w:color w:val="555555"/>
          <w:sz w:val="17"/>
        </w:rPr>
        <w:t xml:space="preserve">Zitiervorschlag: § 34 LuftBO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