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LuftBO — Flugdurchführungsplan</w:t>
      </w:r>
    </w:p>
    <w:p>
      <w:r>
        <w:rPr>
          <w:color w:val="555555"/>
          <w:sz w:val="18"/>
        </w:rPr>
        <w:t xml:space="preserve">Betriebsordnung für Luftfahrtgerät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Flügen nach Instrumentenflugregeln hat der Luftfahrzeugführer einen Flugdurchführungsplan zu erstellen, aus dem ersichtlich ist, daß der Flug ordnungsgemäß vorbereitet wurde und sicher durchgeführt werden kann.</w:t>
      </w:r>
    </w:p>
    <w:p>
      <w:r>
        <w:rPr>
          <w:color w:val="555555"/>
          <w:sz w:val="17"/>
        </w:rPr>
        <w:t xml:space="preserve">Zitiervorschlag: § 31 LuftBO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https://recht.nulegal.eu/gesetze/LuftBO/31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