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LuftBO — Betriebsstoffmengen</w:t>
      </w:r>
    </w:p>
    <w:p>
      <w:r>
        <w:rPr>
          <w:color w:val="555555"/>
          <w:sz w:val="18"/>
        </w:rPr>
        <w:t xml:space="preserve">Betriebsordnung für Luftfahrtgerät</w:t>
      </w:r>
    </w:p>
    <w:p>
      <w:r>
        <w:rPr>
          <w:color w:val="555555"/>
          <w:sz w:val="18"/>
        </w:rPr>
        <w:t xml:space="preserve">Stand: 10.06.2019 (konsolidierte Textfassung, kein amtliches Inkrafttretensdatum)</w:t>
      </w:r>
    </w:p>
    <w:p>
      <w:r>
        <w:t xml:space="preserve">Motorgetriebene Luftfahrzeuge müssen eine ausreichende Betriebsstoffmenge mitführen, die unter Berücksichtigung der Wetterbedingungen und der zu erwartenden Verzögerungen die sichere Durchführung des Fluges gewährleistet. Darüber hinaus muß eine Betriebsstoffreserve mitgeführt werden, die für unvorhergesehene Fälle und für den Flug zum Ausweichflugplatz zur Verfügung steht, sofern ein Ausweichflugplatz im Flugplan angegeben ist.</w:t>
      </w:r>
    </w:p>
    <w:p>
      <w:r>
        <w:rPr>
          <w:color w:val="555555"/>
          <w:sz w:val="17"/>
        </w:rPr>
        <w:t xml:space="preserve">Zitiervorschlag: § 29 LuftBO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https://recht.nulegal.eu/gesetze/LuftBO/29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