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24a LuftBO — Besondere betriebliche Genehmigungen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Flüge nach Instrumentenflugregeln bedürfen der Genehmigung durch das Luftfahrt-Bundesamt, wenn die Lufträume aus einem der folgenden Gründe besondere Navigationsanforderungen stellen:</w:t>
      </w:r>
    </w:p>
    <w:p>
      <w:pPr>
        <w:ind w:left="420"/>
      </w:pPr>
      <w:r>
        <w:t xml:space="preserve">1. reduzierte Höhenstaffelung (RVSM),</w:t>
      </w:r>
    </w:p>
    <w:p>
      <w:pPr>
        <w:ind w:left="420"/>
      </w:pPr>
      <w:r>
        <w:t xml:space="preserve">2. besondere Vorgaben für den Nordatlantischen Luftraum (MNPS),</w:t>
      </w:r>
    </w:p>
    <w:p>
      <w:pPr>
        <w:ind w:left="420"/>
      </w:pPr>
      <w:r>
        <w:t xml:space="preserve">3. die Anwendung von Flächennavigationsverfahren (PBN, RNAV, RNP).</w:t>
      </w:r>
    </w:p>
    <w:p>
      <w:r>
        <w:t xml:space="preserve">(2) Der Halter hat dem Luftfahrt-Bundesamt die Fähigkeit, Flüge gemäß Absatz 1 durchführen zu können, nachzuweisen. Der Nachweis umfasst</w:t>
      </w:r>
    </w:p>
    <w:p>
      <w:pPr>
        <w:ind w:left="420"/>
      </w:pPr>
      <w:r>
        <w:t xml:space="preserve">1. die Eignung und Instandhaltung der Ausrüstung,</w:t>
      </w:r>
    </w:p>
    <w:p>
      <w:pPr>
        <w:ind w:left="420"/>
      </w:pPr>
      <w:r>
        <w:t xml:space="preserve">2. die Betriebsverfahren und</w:t>
      </w:r>
    </w:p>
    <w:p>
      <w:pPr>
        <w:ind w:left="420"/>
      </w:pPr>
      <w:r>
        <w:t xml:space="preserve">3. die Schulung der Flugbesatzung.</w:t>
      </w:r>
    </w:p>
    <w:p>
      <w:r>
        <w:rPr>
          <w:color w:val="555555"/>
          <w:sz w:val="17"/>
        </w:rPr>
        <w:t xml:space="preserve">Zitiervorschlag: § 24a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https://recht.nulegal.eu/gesetze/LuftBO/24a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