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LuftBO — Betriebsgrenzen für Luftfahrzeuge</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Ein Luftfahrzeug darf nur in Übereinstimmung mit den im zugehörigen Flughandbuch und in anderen Betriebsanweisungen angegebenen Leistungsdaten und festgelegten Betriebsgrenzen betrieben werden. Das Flughandbuch ist an Bord des Luftfahrzeugs mit Ausnahme der nichtmotorgetriebenen Luftsportgeräte mitzuführen. Die Zulassungsbehörde kann auf Antrag des Halters weitere Ausnahmen zulassen, sofern der Flugbesatzung die für den Betrieb des Luftfahrzeugs erforderlichen Daten zur Verfügung stehen.</w:t>
      </w:r>
    </w:p>
    <w:p>
      <w:r>
        <w:t xml:space="preserve">(2) Für jeden Flug ist zu prüfen, ob die Startmasse begrenzt werden muß oder ob der Flug überhaupt durchgeführt werden kann. Hierbei sind, soweit erforderlich, alle die Leistung des Luftfahrzeugs beeinflussenden Faktoren, insbesondere Masse des Luftfahrzeugs, Luftdruck, Temperatur und Wind sowie Höhe, Beschaffenheit und Zustand der Start- und Landebahnen, zu berücksichtigen.</w:t>
      </w:r>
    </w:p>
    <w:p>
      <w:r>
        <w:t xml:space="preserve">(3) Luftfahrzeuge, deren Tragflächen, Rotorblätter, Steuerflächen oder Propeller einen die Flugsicherheit gefährdenden Eis-, Reif- oder Schneebelag aufweisen, dürfen nicht starten.</w:t>
      </w:r>
    </w:p>
    <w:p>
      <w:r>
        <w:rPr>
          <w:color w:val="555555"/>
          <w:sz w:val="17"/>
        </w:rPr>
        <w:t xml:space="preserve">Zitiervorschlag: § 24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