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LuftBO — Ergänzungsausrüstung, die durch die Betriebsart erforderlich ist</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Für Flüge nach Instrumentenflugregeln, für kontrollierte Flüge nach Sichtflugregeln und für Flüge nach Sichtflugregeln über geschlossenen Wolkendecken müssen die Luftfahrzeuge mit den für eine sichere Durchführung der Flüge unter den zu erwartenden Betriebsbedingungen und vorgeschriebenen Landeverfahren erforderlichen Flugüberwachungs- und Navigationsgeräten und Flugregelsystemen ausgerüstet sein. Das gleiche gilt für Wolkenflüge mit Segelflugzeugen.</w:t>
      </w:r>
    </w:p>
    <w:p>
      <w:r>
        <w:t xml:space="preserve">(2) Für Kunstflüge müssen die Luftfahrzeuge mit einem vierteiligen Anschnallgurt für jeden Insassen ausgerüstet sein.</w:t>
      </w:r>
    </w:p>
    <w:p>
      <w:r>
        <w:rPr>
          <w:color w:val="555555"/>
          <w:sz w:val="17"/>
        </w:rPr>
        <w:t xml:space="preserve">Zitiervorschlag: § 20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