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LuftBO — Verantwortlichkeit</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Sofern in dieser Verordnung nichts anderes bestimmt ist, trägt der Halter des Luftfahrtgeräts die Verantwortung für die Einhaltung der Vorschriften dieser Verordnung und der zu ihrer Durchführung erlassenen Vorschriften.</w:t>
      </w:r>
    </w:p>
    <w:p>
      <w:r>
        <w:t xml:space="preserve">(2) Verfügt der Halter persönlich nicht über ausreichende Kenntnisse und Erfahrungen im technischen Betrieb von Luftfahrzeugen, hat er unbeschadet seiner eigenen Verantwortung einen technischen Betriebsleiter zu bestellen, wenn sich die Notwendigkeit aus dem Umfang des Betriebs ergibt. Das gleiche gilt für die Bestellung eines Flugbetriebsleiters, wenn der Halter persönlich nicht über ausreichende Kenntnisse und Erfahrungen im Flugbetrieb verfügt und sich die Notwendigkeit der Bestellung aus dem Umfang des Betriebs ergibt. Die Aufgaben des technischen Betriebsleiters und des Flugbetriebsleiters können von einer Person wahrgenommen werden.</w:t>
      </w:r>
    </w:p>
    <w:p>
      <w:r>
        <w:t xml:space="preserve">(3) Die Verantwortlichkeit des Luftfahrzeugführers für die Führung des Luftfahrzeugs bleibt unberührt.</w:t>
      </w:r>
    </w:p>
    <w:p>
      <w:r>
        <w:rPr>
          <w:color w:val="555555"/>
          <w:sz w:val="17"/>
        </w:rPr>
        <w:t xml:space="preserve">Zitiervorschlag: § 2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