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LuftBO — Ergänzungsausrüstung, die durch den Verwendungszweck erforderlich ist</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Luftfahrzeuge, die für die Beförderung von Personen oder Sachen verwendet werden, müssen ausgerüstet sein mit:</w:t>
      </w:r>
    </w:p>
    <w:p>
      <w:pPr>
        <w:ind w:left="420"/>
      </w:pPr>
      <w:r>
        <w:t xml:space="preserve">1. Einem Sitz für jede Person und einem Anschnallgurt für jeden Sitz; zwei Kinder mit einem Höchstalter bis zu zwei Jahren oder ein Kind mit einem Höchstalter bis zu zwei Jahren und ein Erwachsener können auf einem Sitz untergebracht werden; in Flugzeugen, die nicht in der Lufttüchtigkeitsgruppe Verkehrsflugzeuge zugelassen sind, und sonstigen Luftfahrzeugen mit einem höchstzulässigen Fluggewicht bis zu 5.700 kg können zwei Kinder mit einem Höchstalter bis zu 10 Jahren auf einem Sitz untergebracht werden, wenn dadurch die Sicherheit und Ordnung nicht gefährdet wird; Freiballone sind von den Vorschriften dieser Nummer ausgenommen;</w:t>
      </w:r>
    </w:p>
    <w:p>
      <w:pPr>
        <w:ind w:left="420"/>
      </w:pPr>
      <w:r>
        <w:t xml:space="preserve">2. Einrichtungen, Sicherheits- und Rettungsgeräten zum Schutz der Insassen in Notlagen und bei Unfällen;</w:t>
      </w:r>
    </w:p>
    <w:p>
      <w:pPr>
        <w:ind w:left="420"/>
      </w:pPr>
      <w:r>
        <w:t xml:space="preserve">3. Einrichtungen und Geräten mit Ausnahme der Luftsportgeräte, die es ermöglichen, den Insassen Verhaltensmaßregeln zu erteilen;</w:t>
      </w:r>
    </w:p>
    <w:p>
      <w:pPr>
        <w:ind w:left="420"/>
      </w:pPr>
      <w:r>
        <w:t xml:space="preserve">4. Einrichtungen, die zur Sicherung der beförderten Sachen erforderlich sind.</w:t>
      </w:r>
    </w:p>
    <w:p>
      <w:r>
        <w:t xml:space="preserve">(2) Luftfahrzeuge, die für Luftarbeit verwendet werden, müssen mit Geräten und Einrichtungen, die eine sichere Durchführung der Arbeitsflüge ermöglichen, ausgerüstet sein. Bei Flügen zum Absetzen von Fallschirmspringern kann der Kabinenboden des Luftfahrzeugs als Sitzfläche benutzt werden, soweit dies nach den Festlegungen im Flughandbuch zulässig ist. Auch in diesem Fall muß ein Anschnallgurt für jeden Fallschirmspringer an seinem Sitzplatz vorhanden sein.</w:t>
      </w:r>
    </w:p>
    <w:p>
      <w:r>
        <w:rPr>
          <w:color w:val="555555"/>
          <w:sz w:val="17"/>
        </w:rPr>
        <w:t xml:space="preserve">Zitiervorschlag: § 19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