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LuftBO — Lufttüchtigkeitsanweisung</w:t>
      </w:r>
    </w:p>
    <w:p>
      <w:r>
        <w:rPr>
          <w:color w:val="555555"/>
          <w:sz w:val="18"/>
        </w:rPr>
        <w:t xml:space="preserve">Betriebsordnung für Luftfahrtgerät</w:t>
      </w:r>
    </w:p>
    <w:p>
      <w:r>
        <w:rPr>
          <w:color w:val="555555"/>
          <w:sz w:val="18"/>
        </w:rPr>
        <w:t xml:space="preserve">Stand: 10.06.2019 (konsolidierte Textfassung, kein amtliches Inkrafttretensdatum)</w:t>
      </w:r>
    </w:p>
    <w:p>
      <w:r>
        <w:t xml:space="preserve">(1) Die zuständige Stelle ordnet durch Lufttüchtigkeitsanweisung, die in den Nachrichten für Luftfahrer oder in der Informationsschrift des Beauftragten bekanntgemacht wird, die durchzuführenden Maßnahmen an, wenn sich beim Betrieb des Luftfahrtgeräts Mängel des Musters herausstellen, welche die Lufttüchtigkeit beeinträchtigen.</w:t>
      </w:r>
    </w:p>
    <w:p>
      <w:r>
        <w:t xml:space="preserve">(2) Ein durch die Lufttüchtigkeitsanweisung betroffenes Luftfahrtgerät darf nach dem in der Lufttüchtigkeitsanweisung angegebenen Termin außer für Zwecke der Nachprüfung oder Prüfung zur Feststellung der Lufttüchtigkeit nur in Betrieb genommen werden, wenn die angeordneten Maßnahmen ordnungsgemäß durchgeführt worden sind. Lufttüchtigkeitsanweisungen, welche durch die Europäische Agentur für Flugsicherheit nach dem Verfahren des Artikels 52 Absatz 3 der Verordnung (EG) Nr. 216/2008 amtlich veröffentlicht wurden, sind unmittelbar gültig und bedürfen keiner Veröffentlichung nach Satz 1.</w:t>
      </w:r>
    </w:p>
    <w:p>
      <w:r>
        <w:t xml:space="preserve">(3) Die Absätze 1 und 2 gelten nicht für Luftsportgeräte nach § 1 Absatz 4 Nummer 1 der Luftverkehrs-Zulassungs-Ordnung.</w:t>
      </w:r>
    </w:p>
    <w:p>
      <w:r>
        <w:rPr>
          <w:color w:val="555555"/>
          <w:sz w:val="17"/>
        </w:rPr>
        <w:t xml:space="preserve">Zitiervorschlag: § 14 LuftBO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https://recht.nulegal.eu/gesetze/LuftBO/14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