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LuftBO — Anwendungsbereich</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Die Verordnung regelt den Betrieb von Luftfahrzeugen,</w:t>
      </w:r>
    </w:p>
    <w:p>
      <w:pPr>
        <w:ind w:left="420"/>
      </w:pPr>
      <w:r>
        <w:t xml:space="preserve">1. nach § 1c Nr. 1 des Luftverkehrsgesetzes,</w:t>
      </w:r>
    </w:p>
    <w:p>
      <w:pPr>
        <w:ind w:left="420"/>
      </w:pPr>
      <w:r>
        <w:t xml:space="preserve">1a. die nach § 1 Abs. 4 der Luftverkehrs-Zulassungs-Ordnung keiner Musterzulassung bedürfen, soweit sich nicht aus den Besonderheiten dieser Luftfahrtgeräte, insbesondere der Freistellung von der Verkehrszulassung, die Unanwendbarkeit einzelner Vorschriften ergibt,</w:t>
      </w:r>
    </w:p>
    <w:p>
      <w:pPr>
        <w:ind w:left="420"/>
      </w:pPr>
      <w:r>
        <w:t xml:space="preserve">2. für die die Bundesrepublik Deutschland die Verantwortung des Eintragungsstaates übernommen hat,</w:t>
      </w:r>
    </w:p>
    <w:p>
      <w:pPr>
        <w:ind w:left="420"/>
      </w:pPr>
      <w:r>
        <w:t xml:space="preserve">3. die in einem anderen Land registriert sind, aber im Rahmen einer Genehmigung nach § 20 des Luftverkehrsgesetzes eingesetzt werden.</w:t>
      </w:r>
    </w:p>
    <w:p>
      <w:r>
        <w:t xml:space="preserve">(2) Der Betrieb von Luftfahrzeugen nach Absatz 1 richtet sich</w:t>
      </w:r>
    </w:p>
    <w:p>
      <w:pPr>
        <w:ind w:left="420"/>
      </w:pPr>
      <w:r>
        <w:t xml:space="preserve">1. bei Flugzeugen, die zur gewerbsmäßigen Beförderung von Personen und Sachen eingesetzt werden, nach den §§ 3, 3a, 14, 25 und 55 sowie nach den Bestimmungen des Anhangs III der Verordnung (EWG) Nr. 3922/91 des Rates vom 16. Dezember 1991 in Bezug auf gemeinsame technische Vorschriften und Verwaltungsverfahren für den gewerblichen Luftverkehr mit Flächenflugzeugen (ABl. L 373 vom 31.12.1991, S. 4), die zuletzt durch die Verordnung (EG) Nr. 859/2008 (ABl. L 254 vom 20.9.2008, S. 1) geändert worden ist, in der jeweils geltenden Fassung;</w:t>
      </w:r>
    </w:p>
    <w:p>
      <w:pPr>
        <w:ind w:left="420"/>
      </w:pPr>
      <w:r>
        <w:t xml:space="preserve">2. bei Hubschraubern, die zur gewerbsmäßigen Beförderung von Personen und Sachen eingesetzt werden, nach den §§ 3, 3a, 14, 25 und 55 sowie nach den Bestimmungen der Joint Aviation Authorities über die gewerbsmäßige Beförderung von Personen und Sachen in Hubschraubern in ihrer jeweils jüngsten vom Bundesministerium für Verkehr und digitale Infrastruktur im Bundesanzeiger bekanntgemachten Fassung der deutschen Übersetzung (JAR-OPS 3 deutsch);</w:t>
      </w:r>
    </w:p>
    <w:p>
      <w:pPr>
        <w:ind w:left="420"/>
      </w:pPr>
      <w:r>
        <w:t xml:space="preserve">3. im übrigen nach den nachfolgenden Vorschriften.</w:t>
      </w:r>
    </w:p>
    <w:p>
      <w:r>
        <w:rPr>
          <w:color w:val="555555"/>
          <w:sz w:val="17"/>
        </w:rPr>
        <w:t xml:space="preserve">Zitiervorschlag: § 1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