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LuKIFG — Förderzeitraum</w:t>
      </w:r>
    </w:p>
    <w:p>
      <w:r>
        <w:rPr>
          <w:color w:val="555555"/>
          <w:sz w:val="18"/>
        </w:rPr>
        <w:t xml:space="preserve">Länder-und-Kommunal-Infrastrukturfinanzierungsgesetz</w:t>
      </w:r>
    </w:p>
    <w:p>
      <w:r>
        <w:rPr>
          <w:color w:val="555555"/>
          <w:sz w:val="18"/>
        </w:rPr>
        <w:t xml:space="preserve">Stand: 24.10.2025 (konsolidierte Textfassung, kein amtliches Inkrafttretensdatum)</w:t>
      </w:r>
    </w:p>
    <w:p>
      <w:r>
        <w:t xml:space="preserve">(1) Investitionsmaßnahmen nach § 3 können finanziert werden, sofern sie nicht vor dem 1. Januar 2025 begonnen wurden. Dies gilt auch, sofern es sich hierbei um selbständige Abschnitte eines vor dem 1. Januar 2025 begonnenen Vorhabens handelt.</w:t>
      </w:r>
    </w:p>
    <w:p>
      <w:r>
        <w:t xml:space="preserve">(2) Investitionsmaßnahmen nach § 3 sind bis zum 31. Dezember 2042 förderfähig, sofern sie bis zum 31. Dezember 2036 von den für die Durchführung dieses Gesetzes zuständigen Stellen des Landes bewilligt wurden. Bis zum 31. Dezember 2029 soll mindestens ein Drittel der jedem Land zur Verfügung stehenden Mittel durch bewilligte Maßnahmen gebunden sein. Im Jahr 2043 können Mittel aus dem Sondervermögen nur noch für Investitionsvorhaben oder selbständige Abschnitte von Investitionsvorhaben eingesetzt werden, die bis zum 31. Dezember 2042 vollständig abgenommen wurden und die im Jahr 2043 vollständig abgerechnet werden.</w:t>
      </w:r>
    </w:p>
    <w:p>
      <w:r>
        <w:rPr>
          <w:color w:val="555555"/>
          <w:sz w:val="17"/>
        </w:rPr>
        <w:t xml:space="preserve">Zitiervorschlag: § 4 LuKIFG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https://recht.nulegal.eu/gesetze/LuKIFG/4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