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LuKIFG — Außerkrafttreten</w:t>
      </w:r>
    </w:p>
    <w:p>
      <w:r>
        <w:rPr>
          <w:color w:val="555555"/>
          <w:sz w:val="18"/>
        </w:rPr>
        <w:t xml:space="preserve">Länder-und-Kommunal-Infrastrukturfinanzierungsgesetz</w:t>
      </w:r>
    </w:p>
    <w:p>
      <w:r>
        <w:rPr>
          <w:color w:val="555555"/>
          <w:sz w:val="18"/>
        </w:rPr>
        <w:t xml:space="preserve">Stand: 24.10.2025 (konsolidierte Textfassung, kein amtliches Inkrafttretensdatum)</w:t>
      </w:r>
    </w:p>
    <w:p>
      <w:r>
        <w:t xml:space="preserve">Dieses Gesetz tritt mit Ablauf des 31. Dezember 2050 außer Kraft.</w:t>
      </w:r>
    </w:p>
    <w:p>
      <w:r>
        <w:rPr>
          <w:color w:val="555555"/>
          <w:sz w:val="17"/>
        </w:rPr>
        <w:t xml:space="preserve">Zitiervorschlag: § 10 LuKIFG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https://recht.nulegal.eu/gesetze/LuKIFG/10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