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LuFaLuSiZV (Brandenburg)</w:t>
      </w:r>
    </w:p>
    <w:p>
      <w:r>
        <w:rPr>
          <w:color w:val="555555"/>
          <w:sz w:val="18"/>
        </w:rPr>
        <w:t xml:space="preserve">Luftfahrt- und Luftsicherheitszuständigkeitsverordnung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Verfolgung und Ahndung von Ordnungswidrigkeiten</w:t>
      </w:r>
    </w:p>
    <w:p>
      <w:r>
        <w:t xml:space="preserve">nach § 58 des Luftverkehrsgesetzes ist die nach § 1 Absatz 2 bestimmte</w:t>
      </w:r>
    </w:p>
    <w:p>
      <w:r>
        <w:t xml:space="preserve">Behörde zuständig.</w:t>
      </w:r>
    </w:p>
    <w:p>
      <w:r>
        <w:rPr>
          <w:color w:val="555555"/>
          <w:sz w:val="17"/>
        </w:rPr>
        <w:t xml:space="preserve">Zitiervorschlag: § 3 LuFaLuSiZV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https://recht.nulegal.eu/gesetze/LuFaLuSiZV/3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