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LuBKV (Brandenburg) — Aufnahmeverfahren</w:t>
      </w:r>
    </w:p>
    <w:p>
      <w:r>
        <w:rPr>
          <w:color w:val="555555"/>
          <w:sz w:val="18"/>
        </w:rPr>
        <w:t xml:space="preserve">Leistungs- und Begabungsklassen-Verordnung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Aufnahmeverfahren besteht aus</w:t>
      </w:r>
    </w:p>
    <w:p>
      <w:r>
        <w:t xml:space="preserve">der Eignungsfeststellung gemäß § 9 und</w:t>
      </w:r>
    </w:p>
    <w:p>
      <w:r>
        <w:t xml:space="preserve">dem Auswahlverfahren gemäß § 10.</w:t>
      </w:r>
    </w:p>
    <w:p>
      <w:r>
        <w:t xml:space="preserve">(2) Die Durchführung der Eignungsfeststellung und des Auswahlverfahrens obliegt den Schulleiterinnen und Schulleitern der gewünschten Schulen.</w:t>
      </w:r>
    </w:p>
    <w:p>
      <w:r>
        <w:rPr>
          <w:color w:val="555555"/>
          <w:sz w:val="17"/>
        </w:rPr>
        <w:t xml:space="preserve">Zitiervorschlag: § 8 LuBKV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https://recht.nulegal.eu/gesetze/LuBKV/8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