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LuBKV (Brandenburg) — Ersatzschulen</w:t>
      </w:r>
    </w:p>
    <w:p>
      <w:r>
        <w:rPr>
          <w:color w:val="555555"/>
          <w:sz w:val="18"/>
        </w:rPr>
        <w:t xml:space="preserve">Leistungs- und Begabungsklassen-Verordnung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§§ 1 bis 5 gelten mit Ausnahme von § 4 Abs. 3 und 4 für Ersatzschulen entsprechend. Das Genehmigungserfordernis gemäß § 4 Abs. 1 Satz 1 Nr. 2 gilt unabhängig von der Zügigkeit bei Ersatzschulen als erfüllt, wenn</w:t>
      </w:r>
    </w:p>
    <w:p>
      <w:r>
        <w:t xml:space="preserve">mindestens 40 Schülerinnen und Schüler in die Jahrgangsstufe 7 aufgenommen werden oder</w:t>
      </w:r>
    </w:p>
    <w:p>
      <w:r>
        <w:t xml:space="preserve">ein Aufnahmeverhältnis in den Jahrgangsstufen 5 und 7 von eins zu mindestens zwei nachgewiesen werden kann.</w:t>
      </w:r>
    </w:p>
    <w:p>
      <w:r>
        <w:rPr>
          <w:color w:val="555555"/>
          <w:sz w:val="17"/>
        </w:rPr>
        <w:t xml:space="preserve">Zitiervorschlag: § 6 LuBKV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https://recht.nulegal.eu/gesetze/LuBKV/6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