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LuBKV (Brandenburg) — Antragsprüfung und Genehmigung</w:t>
      </w:r>
    </w:p>
    <w:p>
      <w:r>
        <w:rPr>
          <w:color w:val="555555"/>
          <w:sz w:val="18"/>
        </w:rPr>
        <w:t xml:space="preserve">Leistungs- und Begabungsklassen-Verordnung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für Schule zuständige Ministerium kann die Bildung von Leistungs- und Begabungsklassen genehmigen, wenn</w:t>
      </w:r>
    </w:p>
    <w:p>
      <w:r>
        <w:t xml:space="preserve">die pädagogische Konzeption eine gezielte Begabungsförderung gewährleistet,</w:t>
      </w:r>
    </w:p>
    <w:p>
      <w:r>
        <w:t xml:space="preserve">die Schule neben der Leistungs- und Begabungsklasse ab Jahrgangsstufe 7 langfristig mindestens zweizügig ist,</w:t>
      </w:r>
    </w:p>
    <w:p>
      <w:r>
        <w:t xml:space="preserve">die personellen, sächlichen und schulorganisatorischen</w:t>
      </w:r>
    </w:p>
    <w:p>
      <w:r>
        <w:t xml:space="preserve">Voraussetzungen gegeben sind und</w:t>
      </w:r>
    </w:p>
    <w:p>
      <w:r>
        <w:t xml:space="preserve">die gemäß § 3 Abs. 2 des Brandenburgischen Schulgesetzes mögliche landesweite Anzahl von 35 Leistungs- und Begabungsklassen nicht überschritten wird.</w:t>
      </w:r>
    </w:p>
    <w:p>
      <w:r>
        <w:t xml:space="preserve">Eine regionale Ausgewogenheit der Angebote zur Leistungs- und Begabungsförderung ist hierbei anzustreben.</w:t>
      </w:r>
    </w:p>
    <w:p>
      <w:r>
        <w:t xml:space="preserve">(2) Die Genehmigung der Bildung von Leistungs- und Begabungsklassen erfolgt gegenüber der Schule. Die Genehmigung des Ausbaus der Schule ist gegenüber dem Schulträger zeitgleich auszusprechen.</w:t>
      </w:r>
    </w:p>
    <w:p>
      <w:r>
        <w:t xml:space="preserve">(3) Unabhängig von den Voraussetzungen gemäß Absatz 1 setzt die Bildung von Leistungs- und Begabungsklassen voraus, dass mindestens 25 geeignete Schülerinnen und Schüler in diese Klasse aufgenommen werden.</w:t>
      </w:r>
    </w:p>
    <w:p>
      <w:r>
        <w:t xml:space="preserve">(4) Abweichend von § 5 Abs. 2 Satz 2 Nr. 2 Buchstabe a wird die Genehmigung von Leistungs- und Begabungsklassen nur wirksam, sofern im ersten Jahrgang eine Leistungs- und Begabungsklasse gemäß Absatz 3 eingerichtet wird. Für die Höchstfrequenz gilt § 103 Abs. 4 Satz 1 des Brandenburgischen Schulgesetzes entsprechend.</w:t>
      </w:r>
    </w:p>
    <w:p>
      <w:r>
        <w:rPr>
          <w:color w:val="555555"/>
          <w:sz w:val="17"/>
        </w:rPr>
        <w:t xml:space="preserve">Zitiervorschlag: § 4 LuBKV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https://recht.nulegal.eu/gesetze/LuBKV/4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