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LuBKV (Brandenburg) — Antragstellung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Schule zuständige Ministerium genehmigt die Bildung von Leistungs- und Begabungsklassen. Die Antragstellung erfolgt durch die Schule im Einvernehmen mit dem Schulträger. Die Antragstellung setzt einen entsprechenden Beschluss der Schulkonferenz und einen Beschluss des Schulträgers gemäß § 105 des Brandenburgischen Schulgesetzes voraus.</w:t>
      </w:r>
    </w:p>
    <w:p>
      <w:r>
        <w:t xml:space="preserve">(2) Dem Antrag sind</w:t>
      </w:r>
    </w:p>
    <w:p>
      <w:r>
        <w:t xml:space="preserve">eine geeignete pädagogische Konzeption,</w:t>
      </w:r>
    </w:p>
    <w:p>
      <w:r>
        <w:t xml:space="preserve">eine Prognose der Schülerzahlen,</w:t>
      </w:r>
    </w:p>
    <w:p>
      <w:r>
        <w:t xml:space="preserve">der Beschluss der Schulkonferenz und</w:t>
      </w:r>
    </w:p>
    <w:p>
      <w:r>
        <w:t xml:space="preserve">der Beschluss der zuständigen Kommunalvertretung auf Änderung der Schule gemäß § 105 Abs. 2 des Brandenburgischen Schulgesetzes sowie der entsprechende Antrag des Schulträgers an das für Schule zuständige Ministerium</w:t>
      </w:r>
    </w:p>
    <w:p>
      <w:r>
        <w:t xml:space="preserve">beizufügen.</w:t>
      </w:r>
    </w:p>
    <w:p>
      <w:r>
        <w:t xml:space="preserve">(3) Die pädagogische Konzeption ist für die Bildung von Leistungs- und Begabungsklassen geeignet, wenn die Ziele und Grundsätze gemäß § 2 gewährleistet werden. Sie enthält insbesondere Aussagen</w:t>
      </w:r>
    </w:p>
    <w:p>
      <w:r>
        <w:t xml:space="preserve">zu Erfahrungen der Schule auf dem Gebiet der Förderung besonders begabter und leistungsstarker Schülerinnen und Schüler,</w:t>
      </w:r>
    </w:p>
    <w:p>
      <w:r>
        <w:t xml:space="preserve">zum pädagogischen Profil und zum Bildungsverlauf in den Leistungs- und Begabungsklassen von Jahrgangsstufe 5 bis 12,</w:t>
      </w:r>
    </w:p>
    <w:p>
      <w:r>
        <w:t xml:space="preserve">zu individuellen Begabungsprofilen, die schwerpunktmäßig in ihrer Entfaltung gefördert werden sollen,</w:t>
      </w:r>
    </w:p>
    <w:p>
      <w:r>
        <w:t xml:space="preserve">zu Formen und Methoden eines begabungsgerechten Lehrens und Lernens, insbesondere zu vorgesehenen Maßnahmen der Binnendifferenzierung,</w:t>
      </w:r>
    </w:p>
    <w:p>
      <w:r>
        <w:t xml:space="preserve">zur geplanten Vorgehensweise bei der Verdichtung von Lernprozessen,</w:t>
      </w:r>
    </w:p>
    <w:p>
      <w:r>
        <w:t xml:space="preserve">zu geplanten zusätzlichen Unterrichtsangeboten (Enrichmentmaßnahmen),</w:t>
      </w:r>
    </w:p>
    <w:p>
      <w:r>
        <w:t xml:space="preserve">über die Gestaltung einer Stundentafel für die Jahrgangsstufen 5 bis 10 und ein Kursangebot in der gymnasialen Oberstufe,</w:t>
      </w:r>
    </w:p>
    <w:p>
      <w:r>
        <w:t xml:space="preserve">zur profilbezogenen Ausgestaltung des Auswahlverfahrens,</w:t>
      </w:r>
    </w:p>
    <w:p>
      <w:r>
        <w:t xml:space="preserve">zum diagnostischen Test,</w:t>
      </w:r>
    </w:p>
    <w:p>
      <w:r>
        <w:t xml:space="preserve">zum Eignungsgespräch,</w:t>
      </w:r>
    </w:p>
    <w:p>
      <w:r>
        <w:t xml:space="preserve">zu weiteren, auf die Besonderheit der Schule bezogenen Kriterien zur Bestimmung der Eignung und des Vorrangs der Eignung gemäß § 53 Abs. 7 des Brandenburgischen Schulgesetzes,</w:t>
      </w:r>
    </w:p>
    <w:p>
      <w:r>
        <w:t xml:space="preserve">zu den personellen und sächlichen Ressourcen der Schule,</w:t>
      </w:r>
    </w:p>
    <w:p>
      <w:r>
        <w:t xml:space="preserve">zur geplanten Evaluation und</w:t>
      </w:r>
    </w:p>
    <w:p>
      <w:r>
        <w:t xml:space="preserve">zum Qualifizierungsbedarf der Lehrkräfte.</w:t>
      </w:r>
    </w:p>
    <w:p>
      <w:r>
        <w:t xml:space="preserve">(4) Der vollständige Antrag ist spätestens am 31. Oktober vor Beginn des Schuljahres, zu dem die Bildung von Leistungs- und Begabungsklassen beantragt wird, einzureichen. Die Berücksichtigung von Anträgen ist jeweils für das kommende Schuljahr ausgeschlossen, wenn diese nicht oder nicht vollständig innerhalb der Frist gemäß Satz 1 in dem für Schule zuständigen Ministerium eingehen.</w:t>
      </w:r>
    </w:p>
    <w:p>
      <w:r>
        <w:rPr>
          <w:color w:val="555555"/>
          <w:sz w:val="17"/>
        </w:rPr>
        <w:t xml:space="preserve">Zitiervorschlag: § 3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