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LuBKV (Brandenburg) — Ziele und Grundsätze</w:t>
      </w:r>
    </w:p>
    <w:p>
      <w:r>
        <w:rPr>
          <w:color w:val="555555"/>
          <w:sz w:val="18"/>
        </w:rPr>
        <w:t xml:space="preserve">Leistungs- und Begabungsklassen-Verordnung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Leistungs- und Begabungsklassen sollen besonders leistungsfähige und begabte Schülerinnen und Schüler gezielt gefördert werden. Die Schulen können Leistungs- und Begabungsklassen mit sprachlichem, musisch-künstlerischem, gesellschaftswissenschaftlichem oder mathematisch-naturwissenschaftlich-technischem Profil bilden. Die Kombination der Profile sowie eine schwerpunktunabhängige Förderung der unterschiedlichen individuellen Begabungsprofile der Schülerinnen und Schüler ist möglich.</w:t>
      </w:r>
    </w:p>
    <w:p>
      <w:r>
        <w:t xml:space="preserve">(2) Die Leistungs- und Begabungsklassen werden an ausgewählten Gymnasien und Gesamtschulen ab Jahrgangsstufe 5 gebildet, um eine frühzeitige Förderung von Leistungen und Begabungen zu sichern. Soweit keine abweichenden Regelungen getroffen werden, gelten die Anforderungen der Rahmenlehrpläne sowie die Rechts- und Verwaltungsvorschriften für die jeweiligen Schulstufen. Die Förderung erfolgt schwerpunktmäßig im Rahmen der regulären Unterrichtszeiten durch Verdichtung von Lernprozessen und durch zusätzliche obligatorische Unterrichtsangebote.</w:t>
      </w:r>
    </w:p>
    <w:p>
      <w:r>
        <w:t xml:space="preserve">(3) Leistungs- und Begabungsklassen vermitteln eine vertiefte allgemeine Bildung und umfassen den Bildungsgang zum Erwerb der allgemeinen Hochschulreife. In Leistungs- und Begabungsklassen wird die allgemeine Hochschulreife nach zwölf Schulbesuchsjahren erworben.</w:t>
      </w:r>
    </w:p>
    <w:p>
      <w:r>
        <w:t xml:space="preserve">(4) Zu jedem Schuljahr kann eine Schule jeweils nur eine Leistungs- und Begabungsklasse bilden. Die Grundsätze der Schulstruktur gemäß Teil 3 des Brandenburgischen Schulgesetzes, insbesondere die Gliederung nach Schulstufen und der regelmäßige Übergang in die weiterführenden allgemein bildenden Schulen nach der Jahrgangsstufe 6, dürfen durch die Bildung von Leistungs- und Begabungsklassen in der Schule nicht gefährdet werden.</w:t>
      </w:r>
    </w:p>
    <w:p>
      <w:r>
        <w:rPr>
          <w:color w:val="555555"/>
          <w:sz w:val="17"/>
        </w:rPr>
        <w:t xml:space="preserve">Zitiervorschlag: § 2 LuBKV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https://recht.nulegal.eu/gesetze/LuBKV/2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