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LuBKV (Brandenburg) — Inkrafttreten</w:t>
      </w:r>
    </w:p>
    <w:p>
      <w:r>
        <w:rPr>
          <w:color w:val="555555"/>
          <w:sz w:val="18"/>
        </w:rPr>
        <w:t xml:space="preserve">Leistungs- und Begabungsklassen-Verordnung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März 2007 in Kraft.</w:t>
      </w:r>
    </w:p>
    <w:p>
      <w:r>
        <w:t xml:space="preserve">Potsdam, den 8. März 2007</w:t>
      </w:r>
    </w:p>
    <w:p>
      <w:r>
        <w:t xml:space="preserve">Der Minister für Bildung, Jugend und Sport</w:t>
      </w:r>
    </w:p>
    <w:p>
      <w:r>
        <w:t xml:space="preserve">Holger Rupprecht</w:t>
      </w:r>
    </w:p>
    <w:p>
      <w:r>
        <w:rPr>
          <w:color w:val="555555"/>
          <w:sz w:val="17"/>
        </w:rPr>
        <w:t xml:space="preserve">Zitiervorschlag: § 12 LuBKV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https://recht.nulegal.eu/gesetze/LuBKV/12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