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LuBKV (Brandenburg) — Übergangsvorschriften</w:t>
      </w:r>
    </w:p>
    <w:p>
      <w:r>
        <w:rPr>
          <w:color w:val="555555"/>
          <w:sz w:val="18"/>
        </w:rPr>
        <w:t xml:space="preserve">Leistungs- und Begabungsklassen-Verordnung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Abweichend von § 3 Abs. 4 sind für die Einreichung der Anträge auf Bildung von Leistungs- und Begabungsklassen zum Schuljahr 2007/2008 die vom für Schule zuständigen Ministerium gesetzten Fristen maßgebend. Die Berücksichtigung von Anträgen auf Bildung von Leistungs- und Begabungsklassen zum Schuljahr 2007/2008 ist ausgeschlossen, wenn diese nicht oder nicht vollständig innerhalb der Fristen gemäß Satz 1 in dem für Schule zuständigen Ministerium eingegangen sind.</w:t>
      </w:r>
    </w:p>
    <w:p>
      <w:r>
        <w:rPr>
          <w:color w:val="555555"/>
          <w:sz w:val="17"/>
        </w:rPr>
        <w:t xml:space="preserve">Zitiervorschlag: § 11 LuBKV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https://recht.nulegal.eu/gesetze/LuBKV/11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