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LuBKV (Brandenburg) — Geltungsbereich</w:t>
      </w:r>
    </w:p>
    <w:p>
      <w:r>
        <w:rPr>
          <w:color w:val="555555"/>
          <w:sz w:val="18"/>
        </w:rPr>
        <w:t xml:space="preserve">Leistungs- und Begabungsklassen-Verordnung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</w:t>
      </w:r>
    </w:p>
    <w:p>
      <w:r>
        <w:t xml:space="preserve">für die Genehmigung der Bildung von Leistungs- und Begabungsklassen an Gymnasien und Gesamtschulen und</w:t>
      </w:r>
    </w:p>
    <w:p>
      <w:r>
        <w:t xml:space="preserve">für die Aufnahme von Schülerinnen und Schülern in Leistungs- und Begabungsklassen.</w:t>
      </w:r>
    </w:p>
    <w:p>
      <w:r>
        <w:rPr>
          <w:color w:val="555555"/>
          <w:sz w:val="17"/>
        </w:rPr>
        <w:t xml:space="preserve">Zitiervorschlag: § 1 LuBKV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https://recht.nulegal.eu/gesetze/LuBKV/1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