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LplV (Brandenburg) — Leitung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Besetzung der Stelle des Leiters oder der Leiterin der Gemeinsamen Landesplanungsabteilung obliegt der Regierung des Landes Brandenburg auf Vorschlag des für Raumordnung zuständigen Mitglieds der Landesregierung im Einvernehmen mit dem für Raumordnung zuständigen Mitglied des Senats von Berlin.</w:t>
      </w:r>
    </w:p>
    <w:p>
      <w:r>
        <w:t xml:space="preserve">(2) Die Besetzung der Stelle des ständigen Vertreters oder der ständigen Vertreterin des Abteilungsleiters oder der Abteilungsleiterin obliegt dem Land Berlin auf Vorschlag des für Raumordnung zuständigen Mitglieds des Senats von Berlin im Einvernehmen mit dem für Raumordnung zuständigen Mitglied der Landesregierung Brandenburg.</w:t>
      </w:r>
    </w:p>
    <w:p>
      <w:r>
        <w:t xml:space="preserve">(3) Die Rechte der jeweiligen Landesregierung bei Einstellungen und Versetzungen bleiben unberührt.</w:t>
      </w:r>
    </w:p>
    <w:p>
      <w:r>
        <w:rPr>
          <w:color w:val="555555"/>
          <w:sz w:val="17"/>
        </w:rPr>
        <w:t xml:space="preserve">Zitiervorschlag: Art 5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