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LplV (Brandenburg) — Geltungsdauer und Kündigung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Staatsvertrag gilt für unbestimmte Zeit. Er kann von jedem vertragschließenden Land zum Ende des Kalenderjahres schriftlich mit einer Frist von drei Jahren gekündigt werden.</w:t>
      </w:r>
    </w:p>
    <w:p>
      <w:r>
        <w:t xml:space="preserve">(2) Bilden die vertragschließenden Länder ein gemeinsames Land, so gehen alle Rechte und Pflichten der bisherigen Länder aus diesem Vertrag auf das neue Land über.</w:t>
      </w:r>
    </w:p>
    <w:p>
      <w:r>
        <w:t xml:space="preserve">Artikel 22</w:t>
      </w:r>
    </w:p>
    <w:p>
      <w:r>
        <w:t xml:space="preserve">Inkrafttreten</w:t>
      </w:r>
    </w:p>
    <w:p>
      <w:r>
        <w:t xml:space="preserve">Dieser Vertrag tritt am ersten Tag des auf den Austausch der Ratifikationsurkunden folgenden Monats in Kraft.</w:t>
      </w:r>
    </w:p>
    <w:p>
      <w:r>
        <w:t xml:space="preserve">Geschehen zu Berlin am 6. April 1995 in zwei Urschriften.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gez. Eberhard Diepgen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gez. Manfred Stolpe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21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