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LplV (Brandenburg) — Raumordnungskataster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Gemeinsame Landesplanungsabteilung führt ein Raumordnungskataster. In ihm werden alle raumbedeutsamen Planungen und Maßnahmen des gemeinsamen Planungsraumes erfasst und fortgeschrieben.</w:t>
      </w:r>
    </w:p>
    <w:p>
      <w:r>
        <w:t xml:space="preserve">(2) Das Nähere über die Einrichtung und einheitliche Führung des Raumordnungskatasters regeln die Regierungen der vertragschließenden Länder durch Verwaltungsvereinbarung.</w:t>
      </w:r>
    </w:p>
    <w:p>
      <w:r>
        <w:rPr>
          <w:color w:val="555555"/>
          <w:sz w:val="17"/>
        </w:rPr>
        <w:t xml:space="preserve">Zitiervorschlag: Art 16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