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LplV (Brandenburg) — Zielabweichungsverfahren</w:t>
      </w:r>
    </w:p>
    <w:p>
      <w:r>
        <w:rPr>
          <w:color w:val="555555"/>
          <w:sz w:val="18"/>
        </w:rPr>
        <w:t xml:space="preserve">Landesplanungsvertrag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Unter den Voraussetzungen des § 6 Absatz 2 des Raumordnungsgesetzes soll die Gemeinsame Landesplanungsabteilung im Benehmen mit den fachlich berührten öffentlichen Stellen und den betroffenen Gemeinden im Einzelfall Abweichungen von den Zielen der Raumordnung zulassen.</w:t>
      </w:r>
    </w:p>
    <w:p>
      <w:r>
        <w:t xml:space="preserve">III. Abschnitt</w:t>
      </w:r>
    </w:p>
    <w:p>
      <w:r>
        <w:t xml:space="preserve">Regelungen zur Regionalplanung</w:t>
      </w:r>
    </w:p>
    <w:p>
      <w:r>
        <w:rPr>
          <w:color w:val="555555"/>
          <w:sz w:val="17"/>
        </w:rPr>
        <w:t xml:space="preserve">Zitiervorschlag: Art 10 LplV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https://recht.nulegal.eu/gesetze/LplV/10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