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LottStVereinfV</w:t>
      </w:r>
    </w:p>
    <w:p>
      <w:r>
        <w:rPr>
          <w:color w:val="555555"/>
          <w:sz w:val="18"/>
        </w:rPr>
        <w:t xml:space="preserve">Verordnung zur Vereinfachung der Steuererhebung bei der Lotteriesteuer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Artikel V des Gesetzes zur Änderung von einzelnen Vorschriften der Reichsabgabenordnung und anderer Gesetze vom 11. Juli 1953 auch im Land Berlin.</w:t>
      </w:r>
    </w:p>
    <w:p>
      <w:r>
        <w:rPr>
          <w:color w:val="555555"/>
          <w:sz w:val="17"/>
        </w:rPr>
        <w:t xml:space="preserve">Zitiervorschlag: § 2 LottStVereinfV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https://recht.nulegal.eu/gesetze/LottStVereinfV/2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