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LotsO 1987 — Führung der Bört- und Schiffsliste</w:t>
      </w:r>
    </w:p>
    <w:p>
      <w:r>
        <w:rPr>
          <w:color w:val="555555"/>
          <w:sz w:val="18"/>
        </w:rPr>
        <w:t xml:space="preserve">Allgemeine 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Lotsenbrüderschaften haben nach näherer Bestimmung der Börtordnung Bört- und Schiffslisten zu führen. In diese sind einzutragen</w:t>
      </w:r>
    </w:p>
    <w:p>
      <w:pPr>
        <w:ind w:left="420"/>
      </w:pPr>
      <w:r>
        <w:t xml:space="preserve">1. der Beginn der Lotsung,</w:t>
      </w:r>
    </w:p>
    <w:p>
      <w:pPr>
        <w:ind w:left="420"/>
      </w:pPr>
      <w:r>
        <w:t xml:space="preserve">2. das Ziel der Lotsung,</w:t>
      </w:r>
    </w:p>
    <w:p>
      <w:pPr>
        <w:ind w:left="420"/>
      </w:pPr>
      <w:r>
        <w:t xml:space="preserve">3. das Ende der Lotsung,</w:t>
      </w:r>
    </w:p>
    <w:p>
      <w:pPr>
        <w:ind w:left="420"/>
      </w:pPr>
      <w:r>
        <w:t xml:space="preserve">4. der Antritt und die Beendigung der zur Lotsung erforderlichen An- und Abmarschwege des Seelotsen und</w:t>
      </w:r>
    </w:p>
    <w:p>
      <w:pPr>
        <w:ind w:left="420"/>
      </w:pPr>
      <w:r>
        <w:t xml:space="preserve">5. die Dauer erforderlicher Wartezeiten.</w:t>
      </w:r>
    </w:p>
    <w:p>
      <w:r>
        <w:t xml:space="preserve">(2) Die Bört- und Schiffslisten sind der Aufsichtsbehörde auf Anforderung vorzulegen.</w:t>
      </w:r>
    </w:p>
    <w:p>
      <w:r>
        <w:rPr>
          <w:color w:val="555555"/>
          <w:sz w:val="17"/>
        </w:rPr>
        <w:t xml:space="preserve">Zitiervorschlag: § 7 LotsO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https://recht.nulegal.eu/gesetze/LotsO%201987/7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