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LotsO 1987 — Durchführung von Betrieb und Unterhaltung der Lotseinrichtungen</w:t>
      </w:r>
    </w:p>
    <w:p>
      <w:r>
        <w:rPr>
          <w:color w:val="555555"/>
          <w:sz w:val="18"/>
        </w:rPr>
        <w:t xml:space="preserve">Allgemeine Lotsverordnung</w:t>
      </w:r>
    </w:p>
    <w:p>
      <w:r>
        <w:rPr>
          <w:color w:val="555555"/>
          <w:sz w:val="18"/>
        </w:rPr>
        <w:t xml:space="preserve">Stand: 10.06.2019 (konsolidierte Textfassung, kein amtliches Inkrafttretensdatum)</w:t>
      </w:r>
    </w:p>
    <w:p>
      <w:r>
        <w:t xml:space="preserve">Die Durchführung von Betrieb und Unterhaltung der Lotseinrichtungen in den Seelotsrevieren Ems, Weser I, Weser II/Jade, Elbe, Nord-Ostsee-Kanal I und Nord-Ostsee-Kanal II/Kieler Förde/Trave/Flensburger Förde wird den Bundeslotsenkammer übertragen, soweit diese Durchführung bisher von den Lotsenbrüderschaften wahrgenommen worden ist. Eine solche Übertragung auf Dritte bleibt unberührt. Die Durchführung von Betrieb und Unterhaltung in dem Lotsrevier Wismar/Rostock/Stralsund wird an private natürliche oder juristische Personen vergeben.</w:t>
      </w:r>
    </w:p>
    <w:p>
      <w:r>
        <w:rPr>
          <w:color w:val="555555"/>
          <w:sz w:val="17"/>
        </w:rPr>
        <w:t xml:space="preserve">Zitiervorschlag: § 6 LotsO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https://recht.nulegal.eu/gesetze/LotsO%201987/6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