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LotsO 1987 — Inkrafttreten, Aufhebung von Vorschriften</w:t>
      </w:r>
    </w:p>
    <w:p>
      <w:r>
        <w:rPr>
          <w:color w:val="555555"/>
          <w:sz w:val="18"/>
        </w:rPr>
        <w:t xml:space="preserve">Allgemeine Lotsverordnung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 Verordnung tritt am Tage nach der Verkündung in Kraft.</w:t>
      </w:r>
    </w:p>
    <w:p>
      <w:r>
        <w:t xml:space="preserve">(2)</w:t>
      </w:r>
    </w:p>
    <w:p>
      <w:r>
        <w:rPr>
          <w:color w:val="555555"/>
          <w:sz w:val="17"/>
        </w:rPr>
        <w:t xml:space="preserve">Zitiervorschlag: § 17 LotsO 1987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https://recht.nulegal.eu/gesetze/LotsO%201987/17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