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LosVerfVO NRW (Nordrhein-Westfalen) — Inkrafttreten, Außerkrafttreten</w:t>
      </w:r>
    </w:p>
    <w:p>
      <w:r>
        <w:rPr>
          <w:color w:val="555555"/>
          <w:sz w:val="18"/>
        </w:rPr>
        <w:t xml:space="preserve">Losverfahrensverordnung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Sie tritt mit dem Tag außer Kraft, an dem das Ausführungsgesetz NRW Glücksspielstaatsvertrag außer Kraft tritt.</w:t>
      </w:r>
    </w:p>
    <w:p>
      <w:r>
        <w:t xml:space="preserve">Der Minister des Innern</w:t>
      </w:r>
    </w:p>
    <w:p>
      <w:r>
        <w:t xml:space="preserve">Der Minister der Finanzen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§ 5 LosVerfVO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https://recht.nulegal.eu/gesetze/LosVerfVO%20NRW/5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LosVerfVO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