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LosVerfVO NRW (Nordrhein-Westfalen) — Zwingende rechtliche Gründe</w:t>
      </w:r>
    </w:p>
    <w:p>
      <w:r>
        <w:rPr>
          <w:color w:val="555555"/>
          <w:sz w:val="18"/>
        </w:rPr>
        <w:t xml:space="preserve">Losverfahrensverordnung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Zwingende rechtliche Gründe, die der Durchführung eines Losentscheids gemäß § 2 Absatz 1 entgegenstehen, liegen dann vor, wenn die Erlaubnisbehörde unter Berücksichtigung der nachfolgenden Gründe eine Auswahlentscheidung gemäß § 4 zu Gunsten einer Antragstellerin oder eines Antragstellers treffen kann. Jeder dieser Gründe kann einen zwingenden rechtlichen Grund darstellen, der der Durchführung eines Losentscheids entgegenstehen kann:</w:t>
      </w:r>
    </w:p>
    <w:p>
      <w:r>
        <w:t xml:space="preserve">1. die Feststellung, wer von den konkurrierenden Antragstellerinnen und Antragstellern besser geeignet ist, die Förderung der Ziele des § 1 Satz 1 des Glücksspielstaatsvertrages 2021 vom 29. Oktober 2020 (GV. NRW. 2021 S. 459) zu gewährleisten,</w:t>
      </w:r>
    </w:p>
    <w:p>
      <w:r>
        <w:t xml:space="preserve">2. das Eingreifen der Übergangsregelung des § 13 Absatz 15 des Ausführungsgesetzes NRW Glücksspielstaatsvertrag und</w:t>
      </w:r>
    </w:p>
    <w:p>
      <w:r>
        <w:t xml:space="preserve">3. die bestmögliche Ausschöpfung der Standortkapazität in dem relevanten Gebiet.</w:t>
      </w:r>
    </w:p>
    <w:p>
      <w:r>
        <w:rPr>
          <w:color w:val="555555"/>
          <w:sz w:val="17"/>
        </w:rPr>
        <w:t xml:space="preserve">Zitiervorschlag: § 3 LosVerfVO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https://recht.nulegal.eu/gesetze/LosVerfVO%20NRW/3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