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VI LorbBlErl 2013</w:t>
      </w:r>
    </w:p>
    <w:p>
      <w:r>
        <w:rPr>
          <w:color w:val="555555"/>
          <w:sz w:val="18"/>
        </w:rPr>
        <w:t xml:space="preserve">Erlass über die Stiftung des Silbernen Lorbeerblattes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 dem 24. März 1964 verliehenen Anstecknadeln (Ansteckbroschen) sind Ehrenzeichen im Sinne des Gesetzes über Titel, Orden und Ehrenzeichen.</w:t>
      </w:r>
    </w:p>
    <w:p>
      <w:r>
        <w:rPr>
          <w:color w:val="555555"/>
          <w:sz w:val="17"/>
        </w:rPr>
        <w:t xml:space="preserve">Zitiervorschlag: Art VI LorbBlErl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https://recht.nulegal.eu/gesetze/LorbBlErl%202013/vi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VI LorbBlErl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