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Art IV LorbBlErl 2013</w:t>
      </w:r>
    </w:p>
    <w:p>
      <w:r>
        <w:rPr>
          <w:color w:val="555555"/>
          <w:sz w:val="18"/>
        </w:rPr>
        <w:t xml:space="preserve">Erlass über die Stiftung des Silbernen Lorbeerblattes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Die Auszeichnung mit dem Silbernen Lorbeerblatt setzt eine vorbildliche menschliche und charakterliche Haltung der oder des Auszuzeichnenden voraus.</w:t>
      </w:r>
    </w:p>
    <w:p>
      <w:r>
        <w:t xml:space="preserve">(2) Ein mit einer Sperre sanktionierter Verstoß gegen Anti-Doping-Bestimmungen durch Sportlerinnen und Sportler schließt eine Auszeichnung grundsätzlich aus. Davon abweichende Vorschläge können frühestens nach Ablauf von zwei Jahren nach dem Ende der verhängten sportrechtlichen Sperre geprüft werden.</w:t>
      </w:r>
    </w:p>
    <w:p>
      <w:r>
        <w:t xml:space="preserve">(3) Auf die Entziehung des Ehrenzeichens findet § 4 Absatz 1 des Gesetzes über Titel, Orden und Ehrenzeichen Anwendung.</w:t>
      </w:r>
    </w:p>
    <w:p>
      <w:r>
        <w:rPr>
          <w:color w:val="555555"/>
          <w:sz w:val="17"/>
        </w:rPr>
        <w:t xml:space="preserve">Zitiervorschlag: Art IV LorbBlErl 2013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https://recht.nulegal.eu/gesetze/LorbBlErl%202013/iv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recht.bund.de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Art IV LorbBlErl 2013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