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III LorbBlErl 2013</w:t>
      </w:r>
    </w:p>
    <w:p>
      <w:r>
        <w:rPr>
          <w:color w:val="555555"/>
          <w:sz w:val="18"/>
        </w:rPr>
        <w:t xml:space="preserve">Erlass über die Stiftung des Silbernen Lorbeerblattes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Wurde das Silberne Lorbeerblatt bereits verliehen, erfolgt bei wiederholten sportlichen Spitzenleistungen, die erneut die Voraussetzungen für die Verleihung des Silbernen Lorbeerblattes erfüllen, die Ehrung durch Überreichung einer Anerkennungsurkunde.</w:t>
      </w:r>
    </w:p>
    <w:p>
      <w:r>
        <w:rPr>
          <w:color w:val="555555"/>
          <w:sz w:val="17"/>
        </w:rPr>
        <w:t xml:space="preserve">Zitiervorschlag: Art III LorbBlErl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https://recht.nulegal.eu/gesetze/LorbBlErl%202013/iii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