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LohnUGAÜV 4 — Inkrafttreten, Außerkrafttreten</w:t>
      </w:r>
    </w:p>
    <w:p>
      <w:r>
        <w:rPr>
          <w:color w:val="555555"/>
          <w:sz w:val="18"/>
        </w:rPr>
        <w:t xml:space="preserve">Vierte Verordnung über eine Lohnuntergrenze in der Arbeitnehmerüberlassung</w:t>
      </w:r>
    </w:p>
    <w:p>
      <w:r>
        <w:rPr>
          <w:color w:val="555555"/>
          <w:sz w:val="18"/>
        </w:rPr>
        <w:t xml:space="preserve">Historische Fassung: Stand 04.09.2020 bis 01.01.2023. Dies ist nicht die aktuelle Fassung.</w:t>
      </w:r>
    </w:p>
    <w:p>
      <w:r>
        <w:t xml:space="preserve">Diese Verordnung tritt am 1. September 2020 in Kraft und am 31. Dezember 2022 außer Kraft.</w:t>
      </w:r>
    </w:p>
    <w:p>
      <w:r>
        <w:rPr>
          <w:color w:val="555555"/>
          <w:sz w:val="17"/>
        </w:rPr>
        <w:t xml:space="preserve">Zitiervorschlag: § 3 LohnUGAÜV 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https://recht.nulegal.eu/gesetze/LohnUGA%C3%9CV%204/3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