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LohnUGAÜV 3 — Inkrafttreten, Außerkrafttreten</w:t>
      </w:r>
    </w:p>
    <w:p>
      <w:r>
        <w:rPr>
          <w:color w:val="555555"/>
          <w:sz w:val="18"/>
        </w:rPr>
        <w:t xml:space="preserve">Dritte Verordnung über eine Lohnuntergrenze in der Arbeitnehmerüberlassung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tritt am 1. Juni 2017 in Kraft und am 31. Dezember 2019 außer Kraft.</w:t>
      </w:r>
    </w:p>
    <w:p>
      <w:r>
        <w:rPr>
          <w:color w:val="555555"/>
          <w:sz w:val="17"/>
        </w:rPr>
        <w:t xml:space="preserve">Zitiervorschlag: § 3 LohnUGAÜV 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https://recht.nulegal.eu/gesetze/LohnUGA%C3%9CV%203/3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