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5c LogopG</w:t>
      </w:r>
    </w:p>
    <w:p>
      <w:r>
        <w:rPr>
          <w:color w:val="555555"/>
          <w:sz w:val="18"/>
        </w:rPr>
        <w:t xml:space="preserve">Gesetz über den Beruf des Logopäden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Logopädinnen oder Logopäden im Sinne des § 5a haben beim Erbringen der Dienstleistung im Geltungsbereich dieses Gesetzes die Rechte und Pflichten von Personen mit einer Erlaubnis nach § 1 Abs. 1. Wird gegen diese Pflichten verstoßen, so hat die zuständige Behörde unverzüglich die zuständige Behörde des Niederlassungsmitgliedstaats dieses Dienstleistungserbringers hierüber zu unterrichten.</w:t>
      </w:r>
    </w:p>
    <w:p>
      <w:r>
        <w:rPr>
          <w:color w:val="555555"/>
          <w:sz w:val="17"/>
        </w:rPr>
        <w:t xml:space="preserve">Zitiervorschlag: § 5c LogopG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https://recht.nulegal.eu/gesetze/LogopG/5c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