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LogopG</w:t>
      </w:r>
    </w:p>
    <w:p>
      <w:r>
        <w:rPr>
          <w:color w:val="555555"/>
          <w:sz w:val="18"/>
        </w:rPr>
        <w:t xml:space="preserve">Gesetz über den Beruf des Logopäden</w:t>
      </w:r>
    </w:p>
    <w:p>
      <w:r>
        <w:rPr>
          <w:color w:val="555555"/>
          <w:sz w:val="18"/>
        </w:rPr>
        <w:t xml:space="preserve">Stand: 10.06.2019 (konsolidierte Textfassung, kein amtliches Inkrafttretensdatum)</w:t>
      </w:r>
    </w:p>
    <w:p>
      <w:r>
        <w:t xml:space="preserve">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Vertragsstaates des Europäischen Wirtschaftsraumes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5b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