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LogopG</w:t>
      </w:r>
    </w:p>
    <w:p>
      <w:r>
        <w:rPr>
          <w:color w:val="555555"/>
          <w:sz w:val="18"/>
        </w:rPr>
        <w:t xml:space="preserve">Gesetz über den Beruf des Logopäden</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Logopäden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Logopäden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Logopäden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einen Nachweis in beliebiger Form darüber, dass der Dienstleister eine dem Beruf des Logopäden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Ausbildungs- und Prüfungsordnung für Logopäden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Logopäden auf Grund einer Erlaubnis nach § 1 Abs. 1 ausüben, sind auf Antrag für Zwecke der Dienstleistungserbringung in einem anderen Vertragsstaat des Europäischen Wirtschaftsraumes Bescheinigungen darüber auszustellen, dass</w:t>
      </w:r>
    </w:p>
    <w:p>
      <w:pPr>
        <w:ind w:left="420"/>
      </w:pPr>
      <w:r>
        <w:t xml:space="preserve">1. sie als „Logopädin“ oder „Logopäde“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5a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