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LogopG</w:t>
      </w:r>
    </w:p>
    <w:p>
      <w:r>
        <w:rPr>
          <w:color w:val="555555"/>
          <w:sz w:val="18"/>
        </w:rPr>
        <w:t xml:space="preserve">Gesetz über den Beruf des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ist zurückzunehmen, wenn bei ihrer Erteilung die staatliche Prüfung nicht bestanden oder die Ausbildung nach § 2 Abs. 2 nicht abgeschlossen war. Die Erlaubnis kann zurückgenommen werden, wenn bei ihrer Erteilung eine der Voraussetzungen nach § 2 Abs. 1 Nr. 2 oder 3 nicht vorgelegen hat.</w:t>
      </w:r>
    </w:p>
    <w:p>
      <w:r>
        <w:t xml:space="preserve">(2) Die Erlaubnis ist zu widerrufen, wenn nachträglich die Voraussetzung nach § 2 Abs. 1 Nr. 2 weggefallen ist.</w:t>
      </w:r>
    </w:p>
    <w:p>
      <w:r>
        <w:t xml:space="preserve">(3) Die Erlaubnis kann widerrufen werden, wenn nachträglich eine der Voraussetzungen nach § 2 Abs. 1 Nr. 3 weggefallen ist.</w:t>
      </w:r>
    </w:p>
    <w:p>
      <w:r>
        <w:rPr>
          <w:color w:val="555555"/>
          <w:sz w:val="17"/>
        </w:rPr>
        <w:t xml:space="preserve">Zitiervorschlag: § 3 LogopG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https://recht.nulegal.eu/gesetze/LogopG/3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